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 316</w:t>
      </w:r>
    </w:p>
    <w:p>
      <w:r>
        <w:t>Bundesgericht (BGE), 2010-07-19, DE</w:t>
      </w:r>
    </w:p>
    <w:p>
      <w:r>
        <w:rPr>
          <w:b/>
        </w:rPr>
        <w:t xml:space="preserve">Quelle: </w:t>
      </w:r>
      <w:r>
        <w:t>https://mcp.opencaselaw.ch/entscheid/bge_136 I 316</w:t>
      </w:r>
    </w:p>
    <w:p>
      <w:r>
        <w:t>FR: ATF 136 I 316</w:t>
      </w:r>
    </w:p>
    <w:p>
      <w:r>
        <w:t>IT: DTF 136 I 316</w:t>
      </w:r>
    </w:p>
    <w:p>
      <w:pPr>
        <w:pStyle w:val="Heading2"/>
      </w:pPr>
      <w:r>
        <w:t>Regeste</w:t>
      </w:r>
    </w:p>
    <w:p>
      <w:r>
        <w:t>Regeste Gebührenordnung der Einwohnergemeinde Zermatt für das Wasser und das Abwasser: Verweisung auf private Normen; Art. 9 BV. Nach dem kantonalen Recht sind die Gemeinden im Kanton Wallis für die Erhebung von Wasseranschluss- und Kanalisationsanschlussbeiträgen autonom (E. 2.1). Unterschied zwischen statischen und dynamischen Verweisungen; Voraussetzung derer Zulässigkeit (E. 2.4.1). Im vorliegenden Fall handelt es sich aufgrund der Auslegung um eine statische Verweisung; willkürliche Annahme einer dynamischen Verweisung durch die Vorinstanz (E. 2.4.2 und 2.4.3).</w:t>
      </w:r>
    </w:p>
    <w:p>
      <w:pPr>
        <w:pStyle w:val="Heading2"/>
      </w:pPr>
      <w:r>
        <w:t>Erwägungen</w:t>
      </w:r>
    </w:p>
    <w:p>
      <w:r>
        <w:rPr>
          <w:b/>
        </w:rPr>
        <w:t>E. 2.1.1</w:t>
      </w:r>
    </w:p>
    <w:p>
      <w:r>
        <w:t>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135 I 233 E. 2.2 S. 241 f.; BGE 133 I 128 E. 3.1 S. 130 f.; BGE 129 I 290 E. 2.1 S. 294; je mit Hinweisen).</w:t>
      </w:r>
    </w:p>
    <w:p>
      <w:r>
        <w:rPr>
          <w:b/>
        </w:rPr>
        <w:t>E. 2.1.2</w:t>
      </w:r>
    </w:p>
    <w:p>
      <w:r>
        <w:t>Nach Art. 69 der Verfassung des Kantons Wallis vom 8. März 1907 (KV/VS; SR 131.232) ordnen die Gemeinden innerhalb der Schranken der Verfassung und der Gesetze ihre Angelegenheiten selbständig. Sie sind für die Aufgaben zuständig, die örtlicher Natur sind, und jene, die sie allein oder zusammen mit andern Gemeinden BGE 136 I 316 S. 318 lösen können. Nach Art. 2 Abs. 1 Satz 1 des Gemeindegesetzes des Kantons Wallis vom 5. Februar 2004 (GG/VS; SGS 175.1) sind die öffentlichrechtlichen Körperschaften (u.a. Einwohnergemeinden: vgl. Art. 1 Abs. 1 GG/VS) in allen ihren Aufgaben, die sie von sich aus im öffentlichen Interesse unternehmen, selbständig (autonom; siehe Überschrift von Art. 2 GG/VS). Sie sind überdies innerhalb der gesetzlichen Schranken für alle übertragenen Aufgaben selbständig (Art. 2 Abs. 1 Satz 2 GG/VS). Vorliegend geht es um Wasseranschluss- und Kanalisationsanschlussbeiträge, welche die Gemeinde Zermatt erhebt. Nach Art. 15 Abs. 1 des kantonalen Gesetzes vom 23. Januar 1987 zur Ausführung des Bundesgesetzes über die Raumplanung (SGS 701.1) bestimmen die Gemeinden die finanzielle Beteiligung der Grundeigentümer an den Erschliessungskosten entsprechend der Spezialgesetzgebung. Sie erlassen zu diesem Zweck ein Reglement (vgl. Art. 13). Nach Art. 14 (Finanzierung der Abwasseranlagen) des kantonalen Gesetzes vom 16. November 1978 betreffend die Vollziehung des Bundesgesetzes über den Schutz der Gewässer gegen die Verunreinigung (SGS 814.2) kann die Gemeinde Beiträge und Gebühren für den Bau und den Betrieb der Kanalisationsnetze und der Abwasserreinigungsanlagen erheben (siehe auch Art. 15). Die Gemeinde Zermatt kann in der vorliegenden Streitsache somit autonom kommunale Vorschriften erlassen und vollziehen.</w:t>
      </w:r>
    </w:p>
    <w:p>
      <w:r>
        <w:rPr>
          <w:b/>
        </w:rPr>
        <w:t>E. 2.2.1</w:t>
      </w:r>
    </w:p>
    <w:p>
      <w:r>
        <w:t>Soweit im Bereich der kommunalen Autonomie die Handhabung von eidgenössischem oder kantonalem Verfassungsrecht zur Diskussion steht, prüft das Bundesgericht das Vorgehen der kantonalen Behörden mit freier Kognition, ansonsten unter dem Gesichtspunkt der Willkür ( Art. 95 BGG ; Urteil 1C_501/2009 vom 4. Januar 2010 E. 2.3, nicht publ. in: BGE 136 I 142 ; so auch die bisherige Praxis unter dem OG: vgl. BGE 132 I 68 E. 1.1 S. 69 f.; BGE 131 I 91 E. 1 S. 93; BGE 128 I 3 E. 2b S. 9; je mit Hinweisen). Strittig ist hier die Auslegung und Anwendung von Art. 2 der Gebührenordnung, auf welche sich die Rechnungsverfügung vom 30. August 2005 stützt. Die Gebührenordnung stellt kein Verfassungsrecht dar, weshalb das Bundesgericht die Auslegung und Anwendung vorliegendenfalls nur unter dem Gesichtswinkel der Willkür prüft.</w:t>
      </w:r>
    </w:p>
    <w:p>
      <w:r>
        <w:rPr>
          <w:b/>
        </w:rPr>
        <w:t>E. 2.2.2</w:t>
      </w:r>
    </w:p>
    <w:p>
      <w:r>
        <w:t>Nach der ständigen Praxis des Bundesgerichts liegt Willkür in der Rechtsanwendung dann vor, wenn der angefochtene Entscheid offensichtlich unhaltbar ist, mit der tatsächlichen Situation in klarem BGE 136 I 316 S. 319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BGE 132 I 175 E. 1.2 S. 177; BGE 131 I 467 E. 3.1 S. 473 f.; je mit Hinweisen).</w:t>
      </w:r>
    </w:p>
    <w:p>
      <w:r>
        <w:rPr>
          <w:b/>
        </w:rPr>
        <w:t>E. 2.3</w:t>
      </w:r>
    </w:p>
    <w:p>
      <w:r>
        <w:t>Art. 2 Ziff. 1 lit. a der Gebührenordnung hält fest, dass sich der Anschlussbeitrag nach "m</w:t>
      </w:r>
    </w:p>
    <w:p>
      <w:r>
        <w:rPr>
          <w:b/>
        </w:rPr>
        <w:t>E. 2.4.1</w:t>
      </w:r>
    </w:p>
    <w:p>
      <w:r>
        <w:t>Eine statische Verweisung liegt vor, wenn das Verweisungsobjekt eine bestehende Regelung ist, die in einer ganz bestimmten Fassung Anwendung finden soll. Das verweisende Organ kennt den Inhalt der Norm, auf die verwiesen wird, und dieser verändert sich nicht BGE 136 I 316 S. 320 ohne Zustimmung des für die Verweisung zuständigen Organs. Dynamisch ist dagegen die Verweisung, wenn Normen nicht in einer bestimmten, sondern in der jeweils geltenden Fassung als anwendbar erklärt werden. Das bedeutet, dass sich die Norm, auf die verwiesen wird, ohne Zutun des verweisenden Organs ändern kann (dazu GEORG MÜLLER, Elemente einer Rechtssetzungslehre, 2. Aufl. 2006, Rz. 373 ff.; Bundesamt für Justiz, Gesetzgebungsleitfaden, 3. Aufl. 2007, S. 362; PIERRE MOOR, Droit administratif, Bd. III, 1992, S. 101 f.). Vorliegend wird auf Normen einer privatrechtlichen Organisation verwiesen. Während bei statischen Verweisungen private Normen zu staatlich gesetztem Recht werden (vgl. MÜLLER, a.a.O., Rz. 370; CHRISTOPH ERRASS, Kooperative Rechtssetzung, 2010, S. 279 Ziff. 357 m.w.H.), handelt es sich bei der dynamischen Verweisung auf private Normen um eine Rechtssetzungsdelegation (dazu etwa Bundesamt für Justiz, a.a.O., S. 365; ERRASS, a.a.O., S. 255). Diese ist nur dann zulässig (dazu auch die Literaturhinweise in BGE 123 I 112 E. 7c/cc S. 129 f.), wenn u.a. folgende Voraussetzungen erfüllt sind: Da dem Gesetzgeber entsprechend dem Legalitätsprinzip und der Gewaltenteilung (vgl. BGE 128 I 113 E. 2c und 3c S. 116 bzw. 121 f.) die Aufgabe obliegt, die wichtigen Normen selber zu erlassen, können nur weniger wichtige Normen an Private delegiert werden (vgl. für den Bund RHINOW/SCHEFER, Schweizerisches Verfassungsrecht, 2. Aufl. 2009, Rz. 2733 und 2741 i.f.; zu einer Ausnahmeregelung zum Schutz der Grundrechte vgl. BGE 123 I 112 E. 7c/dd S. 130 f. und zu einer Gegenausnahme E. 7c/ee S. 131 f.); es bedarf dazu allerdings einer verfassungsrechtlichen Delegationskompetenz, die u.a. Private als Rechtssetzungssubjekte und den notwendigen gesetzlichen Übertragungsakt (formelles Gesetz) bezeichnet. Sind Normen so unwichtig, dass sie Gegenstand einer Vollziehungsverordnung sein könnten (z.B. rein technische Normen), handelt es sich funktional um Verwaltung; in diesem Fall werden Verwaltungsaufgaben an Private (für den Bund siehe Art. 178 Abs. 3 BV ) übertragen (zum Ganzen ERRASS, a.a.O., S. 225 ff., 234 f., 249 ff., 255 f., 259 ff., 261 ff. mit weiteren Hinweisen; siehe etwa auch MOOR, a.a.O., S. 101-103 und 105; zu den Voraussetzungen einer Aufgabenübertragung an Private siehe etwa TSCHANNEN/ZIMMERLI/MÜLLER, Allgemeines Verwaltungsrecht, 3. Aufl. 2009, S. 75 ff.). Ob eine statische oder dynamische Verweisung vorliegt, ist durch Auslegung (zu den Auslegungsregeln BGE 131 II 697 E. 4.1 S. 702 f.) zu ermitteln (MÜLLER, a.a.O., Rz. 374; implizit auch JEAN-PIERRE ZUFFEREY, La systématique de la législation valaisanne, 1999, S. 15). BGE 136 I 316 S. 321</w:t>
      </w:r>
    </w:p>
    <w:p>
      <w:r>
        <w:rPr>
          <w:b/>
        </w:rPr>
        <w:t>E. 2.4.2</w:t>
      </w:r>
    </w:p>
    <w:p>
      <w:r>
        <w:t>Art. 2 Ziff. 1 lit. a der Gebührenordnung hält fest, dass sich der Anschlussbeitrag nach "m</w:t>
      </w:r>
    </w:p>
    <w:p>
      <w:r>
        <w:rPr>
          <w:b/>
        </w:rPr>
        <w:t>E. 2.4.3</w:t>
      </w:r>
    </w:p>
    <w:p>
      <w:r>
        <w:t>Angesichts dieser Ausführungen ist das Urteil der Vorinstanz offensichtlich unhaltbar und damit willkürlich. Im entscheidenden Punkt führt es lediglich Folgendes aus: "Hätte der Gesetzgeber für immer die bei Erlass des Reglementes gültige SIA-Norm 116 (1952) anwenden wollen, hätte er dies wohl so bestimmt. Ansonsten ist davon auszugehen, dass er die Entwicklung der Normalien der SIA nicht von vornherein ausschliessen wollte [...]." Gefordert wäre indes vielmehr eine Auslegung der strittigen Norm gewesen, um zu bestimmen, ob die Verweisung statisch oder dynamisch ist; sie ist freilich unterblieben. Unbehelflich ist auch der Einwand, dass sich die Gemeinde der vorliegenden Rechtsproblematik bewusst gewesen sei, weshalb sie der Urversammlung - während des kantonalen Beschwerdeverfahrens - einen Entwurf zur Änderung der Gebührenordnung unterbreitet habe. Daraus lässt sich lediglich folgern, dass der Normsinn nach dem historischen, teleologischen und verfassungskonformen Auslegungselement im Normtext nicht in der erforderlichen Klarheit zum Ausdruck kommt. Unbeantwortet ist ferner die Frage geblieben, inwieweit eine Rechtssetzungsdelegation an Private im Bereich der Bemessung von Kausalabgaben, welche in der Regel einer formellgesetzlichen Grundlage durch den staatlichen Gesetzgeber bedürfte ( Art. 127 Abs. 1 BV ; BGE 135 I 130 E. 7.2 S. 140; BGE 131 II 735 E. 3.2 S. 739 f.), überhaupt zulässig ist. Ganz abgesehen davon, kennt das Verfassungsrecht des Kantons Wallis - wie dargelegt - keine Rechtssetzungsdelegation an Private (generell zur Vorsicht mahnend auch ZUFFEREY, a.a.O., S. 15).</w:t>
      </w:r>
    </w:p>
    <w:p>
      <w:r>
        <w:rPr>
          <w:b/>
        </w:rPr>
        <w:t>E. 3</w:t>
      </w:r>
    </w:p>
    <w:p>
      <w:r>
        <w:t>-Inhalt des umbauten Raumes nach SIA" berechnet. Der Normtext verweist lediglich auf SIA. Nach dem Wortlaut ist unklar, welche SIA-Norm überhaupt anwendbar ist. Es gibt zahlreiche SIA-Normen. Der Wortlaut lässt auch offen, ob es sich beim Verweis auf die SIA-Norm um einen dynamischen oder statischen Verweis handelt. Während aus systematischer Sicht (Art. 2 Ziff. 1 lit. b) kein zusätzlicher Erkenntnisgewinn folgt, ist die Entstehungsgeschichte hingegen erhellend: Bei Erlass der Gebührenordnung bestand zum Thema der Festlegung eines Gebäudevolumens ausschliesslich die SIA-Norm 116 aus dem Jahre 1952 mit dem Titel "Normalien für kubische Berechnungen von Hochbauten". Zwar wird damit noch nicht festgelegt, ob es sich um eine statische oder dynamische Verweisung handelt. Naheliegend ist allerdings, dass ein statischer Verweis gemeint war. Bei Erlass der Gebührenordnung im Jahre 1977 bestand die bereits 1952 erlassene SIA-Norm 116 unverändert seit 25 Jahren. Der Gesetzgeber der Einwohnergemeinde Zermatt wusste somit sehr genau über den Inhalt der SIA-Norm 116 Bescheid, und es ist deshalb davon auszugehen, dass er nur diesen Inhalt für seine Gebührenordnung anwendbar erklären wollte. Gewichtiger sind allerdings das teleologische und das verfassungskonforme Element. Nach Art. 69 ff. KV/VS erlaubt der kantonale Verfassungsgeber den Gemeinden nicht, Private mit Rechtssetzungsaufgaben zu betrauen. Die Kantonsverfassung verpflichtet somit die Gemeinden, wenn sie private Normen für anwendbar erklären wollen, auf einen statischen Verweis. Angesichts dieses Umstandes muss deshalb davon ausgegangen werden, dass der Gesetzgeber der Gemeinde sich an das Verfassungsrecht des Kantons halten und mit dem Verweis auf die SIA-Norm einen statischen Verweis implementieren wollte. Wie die Gemeinden grundsätzlich erwarten können, dass sich der Kanton an deren Autonomiebereich hält, kann auch der Kanton davon ausgehen, dass die Gemeinden das kantonale Recht achten. Dass der kommunale Gesetzgeber von den kantonalen Vorgaben abgewichen wäre bzw. abweichen wollte, ist weder ersichtlich noch wird es überhaupt geltend gemacht. Es kann somit festgehalten werden, dass Art. 2 Ziff. 1 der Gebührenordnung statisch auf die SIA-Norm 116 verweist und die Beschwerdeführerin diese zu Recht in der vorliegenden Streitsache angewendet hat. Da die Bestimmungen der SIA-Norm 116 durch statischen BGE 136 I 316 S. 322 Verweis zu staatlichem Recht werden (siehe E. 2.4.1), spielt es keine Rolle, ob sie aus Sicht des Schweizerischen Ingenieur- und Architektenvereins nicht mehr in Kraft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